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2BE25" w14:textId="6BF7EECA" w:rsidR="006F48B0" w:rsidRDefault="006F48B0"/>
    <w:p w14:paraId="7ECC973D" w14:textId="77777777" w:rsidR="00CA5EDC" w:rsidRPr="00AF4627" w:rsidRDefault="00CA5EDC" w:rsidP="00CA5EDC">
      <w:pPr>
        <w:rPr>
          <w:b/>
          <w:bCs/>
          <w:sz w:val="28"/>
          <w:szCs w:val="28"/>
        </w:rPr>
      </w:pPr>
      <w:r w:rsidRPr="00AF4627">
        <w:rPr>
          <w:b/>
          <w:bCs/>
          <w:sz w:val="28"/>
          <w:szCs w:val="28"/>
        </w:rPr>
        <w:t>Rammeverket for mineralvirksomhet i Norge</w:t>
      </w:r>
    </w:p>
    <w:p w14:paraId="09D2EBE2" w14:textId="77777777" w:rsidR="00CA5EDC" w:rsidRDefault="00CA5EDC" w:rsidP="00CA5EDC">
      <w:pPr>
        <w:rPr>
          <w:b/>
          <w:bCs/>
          <w:highlight w:val="yellow"/>
        </w:rPr>
      </w:pPr>
    </w:p>
    <w:p w14:paraId="0923FE8F" w14:textId="77777777" w:rsidR="000B1B86" w:rsidRDefault="000B1B86" w:rsidP="00AF4627">
      <w:pPr>
        <w:spacing w:line="240" w:lineRule="auto"/>
        <w:rPr>
          <w:rFonts w:eastAsia="Times New Roman"/>
        </w:rPr>
      </w:pPr>
    </w:p>
    <w:p w14:paraId="57F80C2A" w14:textId="36D84273" w:rsidR="000B1B86" w:rsidRPr="000B1B86" w:rsidRDefault="000A4C13" w:rsidP="00AF4627">
      <w:pPr>
        <w:spacing w:line="240" w:lineRule="auto"/>
        <w:rPr>
          <w:rFonts w:eastAsia="Times New Roman"/>
          <w:b/>
          <w:bCs/>
        </w:rPr>
      </w:pPr>
      <w:r w:rsidRPr="000A4C13">
        <w:rPr>
          <w:rFonts w:eastAsia="Times New Roman"/>
          <w:b/>
          <w:bCs/>
          <w:highlight w:val="yellow"/>
        </w:rPr>
        <w:t>Overordnet tema</w:t>
      </w:r>
      <w:r w:rsidR="000B1B86" w:rsidRPr="000A4C13">
        <w:rPr>
          <w:rFonts w:eastAsia="Times New Roman"/>
          <w:b/>
          <w:bCs/>
          <w:highlight w:val="yellow"/>
        </w:rPr>
        <w:t xml:space="preserve"> for NOU-utvalgets diskusjon den 11 januar er følgende:</w:t>
      </w:r>
    </w:p>
    <w:p w14:paraId="29042CE3" w14:textId="77777777" w:rsidR="000B1B86" w:rsidRDefault="000B1B86" w:rsidP="00AF4627">
      <w:pPr>
        <w:spacing w:line="240" w:lineRule="auto"/>
        <w:rPr>
          <w:rFonts w:eastAsia="Times New Roman"/>
        </w:rPr>
      </w:pPr>
    </w:p>
    <w:p w14:paraId="721FEB39" w14:textId="26F1059D" w:rsidR="000B1B86" w:rsidRPr="00AF4627" w:rsidRDefault="000636F8" w:rsidP="00AF4627">
      <w:pPr>
        <w:spacing w:line="240" w:lineRule="auto"/>
        <w:rPr>
          <w:rFonts w:ascii="Calibri" w:eastAsia="Times New Roman" w:hAnsi="Calibri"/>
          <w:color w:val="auto"/>
        </w:rPr>
      </w:pPr>
      <w:r>
        <w:t>«</w:t>
      </w:r>
      <w:r w:rsidR="000B1B86">
        <w:t>Inndelingen i statens og grunneiers mineraler og bergfrihetens prinsipp: I evalueringen av mineralloven foreslås det at skillet mellom grunneiers og statens mineraler bør vurderes opphevet. Utvalget skal utarbeide forslag til hvordan regelverket for leting, undersøkelse og utvinning av grunneiers mineraler og statens mineraler kan harmoniseres. Utvalget bes vurdere om bergfrihetens prinsipp og førstefinners rett er hensiktsmessige og bør videreføres i mineralloven.</w:t>
      </w:r>
      <w:r>
        <w:t>»</w:t>
      </w:r>
    </w:p>
    <w:p w14:paraId="2AE90A31" w14:textId="77777777" w:rsidR="00CA5EDC" w:rsidRDefault="00CA5EDC" w:rsidP="00CA5EDC">
      <w:pPr>
        <w:rPr>
          <w:b/>
          <w:bCs/>
        </w:rPr>
      </w:pPr>
    </w:p>
    <w:p w14:paraId="4938D5BD" w14:textId="2C58D427" w:rsidR="00CA5EDC" w:rsidRPr="00CA5EDC" w:rsidRDefault="000636F8" w:rsidP="00CA5EDC">
      <w:pPr>
        <w:rPr>
          <w:b/>
          <w:bCs/>
        </w:rPr>
      </w:pPr>
      <w:r w:rsidRPr="000636F8">
        <w:rPr>
          <w:b/>
          <w:bCs/>
          <w:highlight w:val="yellow"/>
        </w:rPr>
        <w:t>Punkt 1 på agenda den 11 januar</w:t>
      </w:r>
      <w:r w:rsidR="008D017C">
        <w:rPr>
          <w:b/>
          <w:bCs/>
        </w:rPr>
        <w:t>:</w:t>
      </w:r>
    </w:p>
    <w:p w14:paraId="246C88A1" w14:textId="77777777" w:rsidR="00CA5EDC" w:rsidRDefault="00CA5EDC" w:rsidP="00CA5EDC">
      <w:pPr>
        <w:pStyle w:val="Listeavsnitt"/>
        <w:numPr>
          <w:ilvl w:val="0"/>
          <w:numId w:val="1"/>
        </w:numPr>
      </w:pPr>
      <w:r>
        <w:t xml:space="preserve">Hvor sterk styring bør staten ha av leting, undersøkelse og drift/utvinning? </w:t>
      </w:r>
    </w:p>
    <w:p w14:paraId="72C26193" w14:textId="77777777" w:rsidR="00CA5EDC" w:rsidRDefault="00CA5EDC" w:rsidP="00CA5EDC">
      <w:pPr>
        <w:pStyle w:val="Listeavsnitt"/>
        <w:numPr>
          <w:ilvl w:val="0"/>
          <w:numId w:val="1"/>
        </w:numPr>
      </w:pPr>
      <w:r w:rsidRPr="000636F8">
        <w:rPr>
          <w:i/>
          <w:iCs/>
        </w:rPr>
        <w:t xml:space="preserve">Rettighetsbasert </w:t>
      </w:r>
      <w:r>
        <w:t xml:space="preserve">system vs. </w:t>
      </w:r>
      <w:r w:rsidRPr="000636F8">
        <w:rPr>
          <w:i/>
          <w:iCs/>
        </w:rPr>
        <w:t>konsesjonssystem</w:t>
      </w:r>
      <w:r>
        <w:t>?</w:t>
      </w:r>
    </w:p>
    <w:p w14:paraId="2626437C" w14:textId="77777777" w:rsidR="00CA5EDC" w:rsidRDefault="00CA5EDC" w:rsidP="00CA5EDC">
      <w:pPr>
        <w:pStyle w:val="Listeavsnitt"/>
        <w:numPr>
          <w:ilvl w:val="0"/>
          <w:numId w:val="1"/>
        </w:numPr>
      </w:pPr>
      <w:r>
        <w:t>I andre land og andre regimer har man valgt ulike løsninger:</w:t>
      </w:r>
    </w:p>
    <w:p w14:paraId="24F7A1EC" w14:textId="77777777" w:rsidR="00CA5EDC" w:rsidRDefault="00CA5EDC" w:rsidP="00CA5EDC">
      <w:pPr>
        <w:pStyle w:val="Listeavsnitt"/>
        <w:numPr>
          <w:ilvl w:val="1"/>
          <w:numId w:val="1"/>
        </w:numPr>
      </w:pPr>
      <w:r>
        <w:t xml:space="preserve">Havbunnsmineralloven gir ikke eksklusiv tillatelse til undersøkelse og fortrinnsrett til drift, men sterkere rolle for det offentlige mht. kartlegging og konsekvensutredning. </w:t>
      </w:r>
    </w:p>
    <w:p w14:paraId="4B0BA536" w14:textId="77777777" w:rsidR="00CA5EDC" w:rsidRDefault="00CA5EDC" w:rsidP="00CA5EDC">
      <w:pPr>
        <w:pStyle w:val="Listeavsnitt"/>
        <w:numPr>
          <w:ilvl w:val="1"/>
          <w:numId w:val="1"/>
        </w:numPr>
      </w:pPr>
      <w:r>
        <w:t>Mineralloven og andre lands mineralregelverk gir fortrinnsrett for undersøker til utvinning av statens mineraler, men ikke for grunneiers mineraler, der dette må avtales særskilt.</w:t>
      </w:r>
    </w:p>
    <w:p w14:paraId="18CDF797" w14:textId="77777777" w:rsidR="00CA5EDC" w:rsidRDefault="00CA5EDC" w:rsidP="00CA5EDC">
      <w:pPr>
        <w:pStyle w:val="Listeavsnitt"/>
        <w:numPr>
          <w:ilvl w:val="0"/>
          <w:numId w:val="1"/>
        </w:numPr>
      </w:pPr>
      <w:r>
        <w:t xml:space="preserve">Statens og grunneiers mineraler: </w:t>
      </w:r>
    </w:p>
    <w:p w14:paraId="30A00FB5" w14:textId="293CB5B2" w:rsidR="00CA5EDC" w:rsidRDefault="00CA5EDC" w:rsidP="00CA5EDC">
      <w:pPr>
        <w:pStyle w:val="Listeavsnitt"/>
        <w:numPr>
          <w:ilvl w:val="1"/>
          <w:numId w:val="1"/>
        </w:numPr>
      </w:pPr>
      <w:r w:rsidRPr="00AB0B9F">
        <w:rPr>
          <w:b/>
          <w:bCs/>
          <w:highlight w:val="yellow"/>
        </w:rPr>
        <w:t>I mandatet</w:t>
      </w:r>
      <w:r w:rsidRPr="00AB0B9F">
        <w:rPr>
          <w:highlight w:val="yellow"/>
        </w:rPr>
        <w:t xml:space="preserve"> </w:t>
      </w:r>
      <w:r w:rsidR="009830EB" w:rsidRPr="00AB0B9F">
        <w:rPr>
          <w:highlight w:val="yellow"/>
        </w:rPr>
        <w:t xml:space="preserve">(se mappe </w:t>
      </w:r>
      <w:proofErr w:type="spellStart"/>
      <w:r w:rsidR="009830EB" w:rsidRPr="00AB0B9F">
        <w:rPr>
          <w:highlight w:val="yellow"/>
        </w:rPr>
        <w:t>Mandat+Utredning</w:t>
      </w:r>
      <w:proofErr w:type="spellEnd"/>
      <w:r w:rsidR="009830EB" w:rsidRPr="00AB0B9F">
        <w:rPr>
          <w:highlight w:val="yellow"/>
        </w:rPr>
        <w:t xml:space="preserve"> NOU)</w:t>
      </w:r>
      <w:r w:rsidR="009830EB">
        <w:t xml:space="preserve"> </w:t>
      </w:r>
      <w:r>
        <w:t>oppgis at utvalget skal vurdere om skillet mellom grunneiers og statens mineraler bør vurderes opphevet og om systemet for leting, undersøkelser og utvinning av de to mineralkategoriene kan harmoniseres.</w:t>
      </w:r>
    </w:p>
    <w:p w14:paraId="078760E8" w14:textId="77777777" w:rsidR="00CA5EDC" w:rsidRDefault="00CA5EDC" w:rsidP="00CA5EDC">
      <w:pPr>
        <w:pStyle w:val="Listeavsnitt"/>
        <w:numPr>
          <w:ilvl w:val="1"/>
          <w:numId w:val="1"/>
        </w:numPr>
      </w:pPr>
      <w:r>
        <w:t>En nærliggende løsning er å "overføre" statens mineraler til grunneier, da overføring av rettigheter motsatt vei vil kunne komme i konflikt med vernet av eiendomsretten i Grunnloven. Det vil i første omgang gi en betydelig overføring til grunneierne og en kostnadsøkning for bedriftene.</w:t>
      </w:r>
    </w:p>
    <w:p w14:paraId="6F9D6910" w14:textId="77777777" w:rsidR="00CA5EDC" w:rsidRDefault="00CA5EDC" w:rsidP="00CA5EDC">
      <w:pPr>
        <w:pStyle w:val="Listeavsnitt"/>
        <w:numPr>
          <w:ilvl w:val="1"/>
          <w:numId w:val="1"/>
        </w:numPr>
      </w:pPr>
      <w:r>
        <w:t xml:space="preserve">Hva er konsekvensene av en slik harmonisering, og står negative virkninger i forhold til ev. nyttevirkninger? </w:t>
      </w:r>
    </w:p>
    <w:p w14:paraId="04D48147" w14:textId="58F87648" w:rsidR="00CA5EDC" w:rsidRDefault="00CA5EDC" w:rsidP="00CA5EDC">
      <w:pPr>
        <w:pStyle w:val="Listeavsnitt"/>
        <w:numPr>
          <w:ilvl w:val="1"/>
          <w:numId w:val="1"/>
        </w:numPr>
      </w:pPr>
      <w:r>
        <w:t>Hvilken informasjon eller vurderinger har utvalget behov for, for å vurdere dette?</w:t>
      </w:r>
    </w:p>
    <w:p w14:paraId="4EDE9E18" w14:textId="39073212" w:rsidR="000636F8" w:rsidRDefault="000636F8" w:rsidP="000636F8">
      <w:pPr>
        <w:pStyle w:val="Listeavsnitt"/>
        <w:ind w:left="1440"/>
      </w:pPr>
      <w:r w:rsidRPr="000636F8">
        <w:rPr>
          <w:b/>
          <w:bCs/>
        </w:rPr>
        <w:t>Foreløpig kommentar</w:t>
      </w:r>
      <w:r>
        <w:t xml:space="preserve">: </w:t>
      </w:r>
      <w:r w:rsidRPr="000636F8">
        <w:rPr>
          <w:i/>
          <w:iCs/>
          <w:u w:val="single"/>
        </w:rPr>
        <w:t>ikke</w:t>
      </w:r>
      <w:r>
        <w:t xml:space="preserve"> opphev skillet mellom grunneiers- og statens mineraler</w:t>
      </w:r>
    </w:p>
    <w:p w14:paraId="29A9AE35" w14:textId="2921E196" w:rsidR="00CA5EDC" w:rsidRDefault="00CA5EDC" w:rsidP="00CA5EDC"/>
    <w:p w14:paraId="6CD2FE7F" w14:textId="77777777" w:rsidR="008D017C" w:rsidRDefault="00363CE8" w:rsidP="00CA5EDC">
      <w:pPr>
        <w:rPr>
          <w:b/>
          <w:bCs/>
        </w:rPr>
      </w:pPr>
      <w:r w:rsidRPr="000636F8">
        <w:rPr>
          <w:b/>
          <w:bCs/>
          <w:highlight w:val="yellow"/>
        </w:rPr>
        <w:t>P</w:t>
      </w:r>
      <w:r w:rsidR="000636F8" w:rsidRPr="000636F8">
        <w:rPr>
          <w:b/>
          <w:bCs/>
          <w:highlight w:val="yellow"/>
        </w:rPr>
        <w:t>unkt 2 på agenda den 11 januar</w:t>
      </w:r>
      <w:r w:rsidRPr="000636F8">
        <w:rPr>
          <w:b/>
          <w:bCs/>
          <w:highlight w:val="yellow"/>
        </w:rPr>
        <w:t>:</w:t>
      </w:r>
      <w:r>
        <w:rPr>
          <w:b/>
          <w:bCs/>
        </w:rPr>
        <w:t xml:space="preserve"> </w:t>
      </w:r>
    </w:p>
    <w:p w14:paraId="7B731F1C" w14:textId="6CA28957" w:rsidR="00363CE8" w:rsidRDefault="008D017C" w:rsidP="00CA5EDC">
      <w:pPr>
        <w:rPr>
          <w:b/>
          <w:bCs/>
        </w:rPr>
      </w:pPr>
      <w:r>
        <w:rPr>
          <w:b/>
          <w:bCs/>
        </w:rPr>
        <w:t>M</w:t>
      </w:r>
      <w:r w:rsidR="00CA5EDC">
        <w:rPr>
          <w:b/>
          <w:bCs/>
        </w:rPr>
        <w:t xml:space="preserve">ineralprosjekt for statens og grunneiers mineraler </w:t>
      </w:r>
      <w:r w:rsidR="000636F8">
        <w:rPr>
          <w:b/>
          <w:bCs/>
        </w:rPr>
        <w:t xml:space="preserve">- </w:t>
      </w:r>
      <w:r w:rsidR="00CA5EDC">
        <w:rPr>
          <w:b/>
          <w:bCs/>
        </w:rPr>
        <w:t>med tidslinje og tillatelser etter mineralloven og annet lovverk.</w:t>
      </w:r>
      <w:r w:rsidR="00363CE8">
        <w:rPr>
          <w:b/>
          <w:bCs/>
        </w:rPr>
        <w:t xml:space="preserve"> </w:t>
      </w:r>
    </w:p>
    <w:p w14:paraId="003BA678" w14:textId="77777777" w:rsidR="00363CE8" w:rsidRDefault="00363CE8" w:rsidP="00363CE8">
      <w:pPr>
        <w:rPr>
          <w:b/>
          <w:bCs/>
        </w:rPr>
      </w:pPr>
    </w:p>
    <w:p w14:paraId="5CE7ED9D" w14:textId="760E8895" w:rsidR="00CA5EDC" w:rsidRPr="00363CE8" w:rsidRDefault="00363CE8" w:rsidP="00CA5EDC">
      <w:pPr>
        <w:rPr>
          <w:rFonts w:eastAsia="Arial" w:cs="Arial"/>
        </w:rPr>
      </w:pPr>
      <w:r w:rsidRPr="000636F8">
        <w:rPr>
          <w:b/>
          <w:bCs/>
        </w:rPr>
        <w:t>Bakgrunn</w:t>
      </w:r>
      <w:r w:rsidR="008D017C">
        <w:rPr>
          <w:b/>
          <w:bCs/>
        </w:rPr>
        <w:t>snotat</w:t>
      </w:r>
      <w:r w:rsidRPr="000636F8">
        <w:rPr>
          <w:b/>
          <w:bCs/>
        </w:rPr>
        <w:t>:</w:t>
      </w:r>
      <w:r>
        <w:rPr>
          <w:b/>
          <w:bCs/>
        </w:rPr>
        <w:t xml:space="preserve"> Se </w:t>
      </w:r>
      <w:r>
        <w:rPr>
          <w:rFonts w:eastAsia="Arial" w:cs="Arial"/>
          <w:b/>
          <w:bCs/>
        </w:rPr>
        <w:t>dokument «Bedre samordning mellom ulike myndighetsinstanser»</w:t>
      </w:r>
      <w:r>
        <w:rPr>
          <w:rFonts w:eastAsia="Arial" w:cs="Arial"/>
        </w:rPr>
        <w:t xml:space="preserve"> som </w:t>
      </w:r>
      <w:r w:rsidR="008D017C" w:rsidRPr="000A4C13">
        <w:rPr>
          <w:rFonts w:eastAsia="Arial" w:cs="Arial"/>
        </w:rPr>
        <w:t>følger vedlagt</w:t>
      </w:r>
      <w:r w:rsidR="008D017C">
        <w:rPr>
          <w:rFonts w:eastAsia="Arial" w:cs="Arial"/>
        </w:rPr>
        <w:t xml:space="preserve"> og </w:t>
      </w:r>
      <w:r w:rsidR="000A4C13">
        <w:rPr>
          <w:rFonts w:eastAsia="Arial" w:cs="Arial"/>
        </w:rPr>
        <w:t xml:space="preserve">også </w:t>
      </w:r>
      <w:r w:rsidR="008D017C">
        <w:rPr>
          <w:rFonts w:eastAsia="Arial" w:cs="Arial"/>
        </w:rPr>
        <w:t>ligger</w:t>
      </w:r>
      <w:r>
        <w:rPr>
          <w:rFonts w:eastAsia="Arial" w:cs="Arial"/>
        </w:rPr>
        <w:t xml:space="preserve"> under mappa «Underlag til utvalgsmøte 11.01.21»</w:t>
      </w:r>
    </w:p>
    <w:p w14:paraId="48938989" w14:textId="77777777" w:rsidR="00CA5EDC" w:rsidRDefault="00CA5EDC" w:rsidP="00CA5EDC"/>
    <w:p w14:paraId="5F101D04" w14:textId="77777777" w:rsidR="00CA5EDC" w:rsidRDefault="00CA5EDC" w:rsidP="00CA5EDC">
      <w:r w:rsidRPr="00B25840">
        <w:rPr>
          <w:b/>
          <w:bCs/>
        </w:rPr>
        <w:t xml:space="preserve">Spørsmål </w:t>
      </w:r>
      <w:r>
        <w:t xml:space="preserve">for ev. </w:t>
      </w:r>
      <w:r w:rsidRPr="00B25840">
        <w:rPr>
          <w:b/>
          <w:bCs/>
        </w:rPr>
        <w:t>diskusjon</w:t>
      </w:r>
    </w:p>
    <w:p w14:paraId="083610E7" w14:textId="77777777" w:rsidR="00CA5EDC" w:rsidRDefault="00CA5EDC" w:rsidP="00CA5EDC">
      <w:pPr>
        <w:pStyle w:val="Listeavsnitt"/>
        <w:numPr>
          <w:ilvl w:val="0"/>
          <w:numId w:val="2"/>
        </w:numPr>
        <w:rPr>
          <w:rFonts w:eastAsia="Arial" w:cs="Arial"/>
        </w:rPr>
      </w:pPr>
      <w:r>
        <w:rPr>
          <w:rFonts w:eastAsia="Arial" w:cs="Arial"/>
        </w:rPr>
        <w:lastRenderedPageBreak/>
        <w:t xml:space="preserve">Bør det innføres rekkefølgebestemmelser for behandling av planer for arealbruk, forurensning og tillatelser etter mineralloven? </w:t>
      </w:r>
    </w:p>
    <w:p w14:paraId="1D33175B" w14:textId="77777777" w:rsidR="00CA5EDC" w:rsidRDefault="00CA5EDC" w:rsidP="00CA5EDC">
      <w:pPr>
        <w:pStyle w:val="Listeavsnitt"/>
        <w:numPr>
          <w:ilvl w:val="0"/>
          <w:numId w:val="2"/>
        </w:numPr>
        <w:rPr>
          <w:b/>
          <w:bCs/>
        </w:rPr>
      </w:pPr>
      <w:r>
        <w:rPr>
          <w:rFonts w:eastAsia="Arial" w:cs="Arial"/>
        </w:rPr>
        <w:t xml:space="preserve">Hvordan kan koordineringen bli bedre? </w:t>
      </w:r>
    </w:p>
    <w:p w14:paraId="13D809B1" w14:textId="222741DB" w:rsidR="00CA5EDC" w:rsidRDefault="00CA5EDC" w:rsidP="00CA5EDC"/>
    <w:p w14:paraId="0163436D" w14:textId="298B6111" w:rsidR="008D017C" w:rsidRDefault="008D017C" w:rsidP="008D017C">
      <w:pPr>
        <w:rPr>
          <w:b/>
          <w:bCs/>
        </w:rPr>
      </w:pPr>
      <w:r w:rsidRPr="000636F8">
        <w:rPr>
          <w:b/>
          <w:bCs/>
          <w:highlight w:val="yellow"/>
        </w:rPr>
        <w:t xml:space="preserve">Punkt </w:t>
      </w:r>
      <w:r>
        <w:rPr>
          <w:b/>
          <w:bCs/>
          <w:highlight w:val="yellow"/>
        </w:rPr>
        <w:t>3</w:t>
      </w:r>
      <w:r w:rsidRPr="000636F8">
        <w:rPr>
          <w:b/>
          <w:bCs/>
          <w:highlight w:val="yellow"/>
        </w:rPr>
        <w:t xml:space="preserve"> på agenda den 11 januar</w:t>
      </w:r>
      <w:r w:rsidR="00B25840">
        <w:rPr>
          <w:b/>
          <w:bCs/>
          <w:highlight w:val="yellow"/>
        </w:rPr>
        <w:t>, tekst fra NOU-rapporten</w:t>
      </w:r>
      <w:r w:rsidRPr="000636F8">
        <w:rPr>
          <w:b/>
          <w:bCs/>
          <w:highlight w:val="yellow"/>
        </w:rPr>
        <w:t>:</w:t>
      </w:r>
      <w:r>
        <w:rPr>
          <w:b/>
          <w:bCs/>
        </w:rPr>
        <w:t xml:space="preserve"> </w:t>
      </w:r>
    </w:p>
    <w:p w14:paraId="571626D4" w14:textId="07DC7CAB" w:rsidR="00CA5EDC" w:rsidRDefault="00CA5EDC" w:rsidP="00CA5EDC"/>
    <w:p w14:paraId="08340BED" w14:textId="2BB8617B" w:rsidR="00CA5EDC" w:rsidRPr="00B25840" w:rsidRDefault="00B25840" w:rsidP="00CA5EDC">
      <w:pPr>
        <w:rPr>
          <w:b/>
          <w:sz w:val="24"/>
          <w:szCs w:val="24"/>
        </w:rPr>
      </w:pPr>
      <w:r>
        <w:rPr>
          <w:b/>
          <w:bCs/>
        </w:rPr>
        <w:t xml:space="preserve">Vedlegg: </w:t>
      </w:r>
      <w:r w:rsidR="00CA5EDC" w:rsidRPr="008D017C">
        <w:rPr>
          <w:b/>
          <w:bCs/>
        </w:rPr>
        <w:t>Utkast til tekst til NOU</w:t>
      </w:r>
      <w:r>
        <w:rPr>
          <w:b/>
          <w:bCs/>
        </w:rPr>
        <w:t>-rapporten</w:t>
      </w:r>
      <w:r w:rsidR="00CA5EDC" w:rsidRPr="008D017C">
        <w:rPr>
          <w:b/>
          <w:bCs/>
        </w:rPr>
        <w:t xml:space="preserve"> om mineralnæringen, mineralloven og annet relevant regelverk, og regelverk for mineralutvinning i utvalgte land</w:t>
      </w:r>
      <w:r>
        <w:rPr>
          <w:b/>
          <w:bCs/>
        </w:rPr>
        <w:t xml:space="preserve"> (sekretariatet til NOU-utvalget er forfatter av denne)</w:t>
      </w:r>
    </w:p>
    <w:p w14:paraId="4FBA2DF5" w14:textId="77777777" w:rsidR="00CA5EDC" w:rsidRDefault="00CA5EDC" w:rsidP="00CA5EDC">
      <w:pPr>
        <w:rPr>
          <w:b/>
          <w:bCs/>
        </w:rPr>
      </w:pPr>
    </w:p>
    <w:p w14:paraId="3481E5F3" w14:textId="765F5BDD" w:rsidR="00CA5EDC" w:rsidRDefault="00CA5EDC" w:rsidP="00CA5EDC">
      <w:r>
        <w:t xml:space="preserve">Sentralt for teksten om mineralnæringen er å: </w:t>
      </w:r>
    </w:p>
    <w:p w14:paraId="1010F2F5" w14:textId="77777777" w:rsidR="00CA5EDC" w:rsidRDefault="00CA5EDC" w:rsidP="00CA5EDC">
      <w:pPr>
        <w:pStyle w:val="Listeavsnitt"/>
        <w:numPr>
          <w:ilvl w:val="0"/>
          <w:numId w:val="3"/>
        </w:numPr>
      </w:pPr>
      <w:r>
        <w:t>Beskrive underbransjene mineralnæringen består av, avgrense næringen mot annen industrivirksomhet og beskrive noen perspektiver på koblingen mellom mineraluttak og industri basert på bearbeiding av mineralske råvarer.</w:t>
      </w:r>
    </w:p>
    <w:p w14:paraId="75456449" w14:textId="43E8B8BB" w:rsidR="00CA5EDC" w:rsidRDefault="00CA5EDC" w:rsidP="00CA5EDC">
      <w:pPr>
        <w:pStyle w:val="Listeavsnitt"/>
        <w:numPr>
          <w:ilvl w:val="0"/>
          <w:numId w:val="3"/>
        </w:numPr>
      </w:pPr>
      <w:r>
        <w:t>Beskrive de viktigste rammebetingelsene for mineralvirksomhet gitt av markeder, internasjonale rammebetingelser, og politiske rammebetingelser ut over de direkte juridiske rammevilkårene beskrevet i kap</w:t>
      </w:r>
      <w:r w:rsidR="008D017C">
        <w:t xml:space="preserve">. </w:t>
      </w:r>
      <w:r>
        <w:t xml:space="preserve">gjeldende rett. Beskrivelse av sentrale utviklingstrekk. </w:t>
      </w:r>
    </w:p>
    <w:p w14:paraId="02254912" w14:textId="77777777" w:rsidR="00CA5EDC" w:rsidRDefault="00CA5EDC" w:rsidP="00CA5EDC">
      <w:pPr>
        <w:pStyle w:val="Listeavsnitt"/>
        <w:numPr>
          <w:ilvl w:val="0"/>
          <w:numId w:val="3"/>
        </w:numPr>
      </w:pPr>
      <w:r>
        <w:t>Gi noen perspektiver om ressursgrunnlag og potensialet for økt mineralutvinning i Norge.</w:t>
      </w:r>
    </w:p>
    <w:p w14:paraId="6B70F773" w14:textId="77777777" w:rsidR="00CA5EDC" w:rsidRDefault="00CA5EDC" w:rsidP="00CA5EDC"/>
    <w:p w14:paraId="43541D27" w14:textId="0E933F05" w:rsidR="00CA5EDC" w:rsidRDefault="00CA5EDC" w:rsidP="00CA5EDC">
      <w:r>
        <w:t>For tekstene om relevant lovverk er formålet å beskrive relevant regelverk med direkte eller indirekte relevans for mineralutvinning. Vi har ikke beskrevet det folkerettslige regelverket i denne omgang.</w:t>
      </w:r>
    </w:p>
    <w:p w14:paraId="41E55BB0" w14:textId="0D4BC228" w:rsidR="00B25840" w:rsidRPr="00B25840" w:rsidRDefault="00B25840" w:rsidP="00CA5EDC">
      <w:pPr>
        <w:rPr>
          <w:b/>
          <w:bCs/>
        </w:rPr>
      </w:pPr>
      <w:r w:rsidRPr="00B25840">
        <w:rPr>
          <w:b/>
          <w:bCs/>
          <w:highlight w:val="yellow"/>
        </w:rPr>
        <w:t>Kommentar: Her vil Lars-Erik, Sverre og Trond Erik sammen med Frode ta en første gjennomgang</w:t>
      </w:r>
      <w:r>
        <w:rPr>
          <w:b/>
          <w:bCs/>
        </w:rPr>
        <w:t xml:space="preserve">, </w:t>
      </w:r>
      <w:proofErr w:type="spellStart"/>
      <w:r w:rsidR="00103057">
        <w:rPr>
          <w:b/>
          <w:bCs/>
        </w:rPr>
        <w:t>jf</w:t>
      </w:r>
      <w:proofErr w:type="spellEnd"/>
      <w:r>
        <w:rPr>
          <w:b/>
          <w:bCs/>
        </w:rPr>
        <w:t xml:space="preserve"> spørsmål under. Viktig å få </w:t>
      </w:r>
      <w:r w:rsidR="00103057">
        <w:rPr>
          <w:b/>
          <w:bCs/>
        </w:rPr>
        <w:t>belyst</w:t>
      </w:r>
      <w:r>
        <w:rPr>
          <w:b/>
          <w:bCs/>
        </w:rPr>
        <w:t xml:space="preserve"> internasjonale perspektivet- også opp mot metallurgisk industri.</w:t>
      </w:r>
    </w:p>
    <w:p w14:paraId="3CBE248B" w14:textId="658CB11A" w:rsidR="00CA5EDC" w:rsidRDefault="00CA5EDC" w:rsidP="00CA5EDC"/>
    <w:p w14:paraId="1558CA8D" w14:textId="77777777" w:rsidR="00CA5EDC" w:rsidRDefault="00CA5EDC" w:rsidP="00CA5EDC">
      <w:r w:rsidRPr="00B25840">
        <w:rPr>
          <w:b/>
          <w:bCs/>
        </w:rPr>
        <w:t>Spørsmål for ev. diskusjon</w:t>
      </w:r>
      <w:r>
        <w:t>:</w:t>
      </w:r>
    </w:p>
    <w:p w14:paraId="0A5F3667" w14:textId="77777777" w:rsidR="00CA5EDC" w:rsidRDefault="00CA5EDC" w:rsidP="00CA5EDC">
      <w:pPr>
        <w:pStyle w:val="Listeavsnitt"/>
        <w:numPr>
          <w:ilvl w:val="0"/>
          <w:numId w:val="4"/>
        </w:numPr>
      </w:pPr>
      <w:r>
        <w:t xml:space="preserve">Hvilket potensial er det for økt verdiskaping basert på mineralutvinning i Norge, jf. </w:t>
      </w:r>
      <w:r w:rsidRPr="00CA5EDC">
        <w:rPr>
          <w:b/>
          <w:bCs/>
        </w:rPr>
        <w:t>første punkt i mandatet</w:t>
      </w:r>
      <w:r>
        <w:t>:</w:t>
      </w:r>
    </w:p>
    <w:p w14:paraId="01B6C338" w14:textId="77777777" w:rsidR="00CA5EDC" w:rsidRDefault="00CA5EDC" w:rsidP="00CA5EDC">
      <w:pPr>
        <w:pStyle w:val="Listeavsnitt"/>
        <w:rPr>
          <w:i/>
          <w:iCs/>
        </w:rPr>
      </w:pPr>
      <w:r>
        <w:rPr>
          <w:i/>
          <w:iCs/>
        </w:rPr>
        <w:t>"Mineralloven skal legge til rette for en høyest mulig samlet verdiskaping i norsk økonomi innenfor bærekraftige rammer gjennom tilrettelegging for verdiskaping i norsk mineralnæring."</w:t>
      </w:r>
    </w:p>
    <w:p w14:paraId="5B6BFEDA" w14:textId="77777777" w:rsidR="00CA5EDC" w:rsidRDefault="00CA5EDC" w:rsidP="00CA5EDC">
      <w:pPr>
        <w:pStyle w:val="Listeavsnitt"/>
        <w:numPr>
          <w:ilvl w:val="0"/>
          <w:numId w:val="4"/>
        </w:numPr>
      </w:pPr>
      <w:r>
        <w:t>Hvilke hindringer er det ev. for å oppnå økt verdiskaping og hvilke endringer i mineralloven m/forskrifter kan bidra til å realisere økt verdiskaping og ev. økt utvinning?</w:t>
      </w:r>
    </w:p>
    <w:p w14:paraId="591CE449" w14:textId="77777777" w:rsidR="00CA5EDC" w:rsidRDefault="00CA5EDC" w:rsidP="00CA5EDC">
      <w:pPr>
        <w:pStyle w:val="Listeavsnitt"/>
        <w:numPr>
          <w:ilvl w:val="0"/>
          <w:numId w:val="5"/>
        </w:numPr>
        <w:rPr>
          <w:rFonts w:asciiTheme="minorHAnsi" w:eastAsiaTheme="minorEastAsia" w:hAnsiTheme="minorHAnsi"/>
          <w:i/>
          <w:iCs/>
        </w:rPr>
      </w:pPr>
      <w:r>
        <w:t>Hvordan kan regelverket legge opp til bedre kontroll med lete- og undersøkelsesaktivitet for statens og grunneiers mineraler? For eksempel gjennom en ordning med prekvalifisering og konsesjon?</w:t>
      </w:r>
    </w:p>
    <w:p w14:paraId="446EB55D" w14:textId="77777777" w:rsidR="00CA5EDC" w:rsidRDefault="00CA5EDC" w:rsidP="00CA5EDC"/>
    <w:p w14:paraId="66307963" w14:textId="77777777" w:rsidR="00CA5EDC" w:rsidRPr="00CA5EDC" w:rsidRDefault="00CA5EDC" w:rsidP="00CA5EDC">
      <w:pPr>
        <w:rPr>
          <w:b/>
          <w:bCs/>
        </w:rPr>
      </w:pPr>
      <w:r w:rsidRPr="00CA5EDC">
        <w:rPr>
          <w:b/>
          <w:bCs/>
        </w:rPr>
        <w:t>Bakgrunn:</w:t>
      </w:r>
    </w:p>
    <w:p w14:paraId="6CADCB8A" w14:textId="45F99A4D" w:rsidR="00CA5EDC" w:rsidRDefault="00CA5EDC" w:rsidP="00CA5EDC">
      <w:r>
        <w:t xml:space="preserve">Utkastene til tekst må anses som førsteutkast. Tekstene slik de foreligger har behov for </w:t>
      </w:r>
      <w:r w:rsidRPr="00363CE8">
        <w:rPr>
          <w:b/>
          <w:bCs/>
        </w:rPr>
        <w:t>ytterligere kvalitetssikring, supplering og bearbeiding</w:t>
      </w:r>
      <w:r>
        <w:t>.</w:t>
      </w:r>
    </w:p>
    <w:p w14:paraId="13A161BA" w14:textId="312EE9AC" w:rsidR="00103057" w:rsidRDefault="00103057" w:rsidP="00CA5EDC"/>
    <w:p w14:paraId="6FC741CD" w14:textId="2E643094" w:rsidR="00103057" w:rsidRDefault="00103057" w:rsidP="00CA5EDC">
      <w:proofErr w:type="spellStart"/>
      <w:r>
        <w:t>T.o</w:t>
      </w:r>
      <w:proofErr w:type="spellEnd"/>
      <w:r>
        <w:t>- avsnitt nedenfor er «sakset» fra vårt innspill fra ekspresshøringen i fjor høst:</w:t>
      </w:r>
    </w:p>
    <w:p w14:paraId="73FC5A3E" w14:textId="77777777" w:rsidR="00103057" w:rsidRDefault="00103057" w:rsidP="00103057">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Mineralnæringens rolle:</w:t>
      </w:r>
      <w:r>
        <w:rPr>
          <w:rStyle w:val="eop"/>
        </w:rPr>
        <w:t> </w:t>
      </w:r>
    </w:p>
    <w:p w14:paraId="331EF7EE" w14:textId="051EDD89" w:rsidR="00103057" w:rsidRDefault="00103057" w:rsidP="00103057">
      <w:pPr>
        <w:pStyle w:val="paragraph"/>
        <w:spacing w:before="0" w:beforeAutospacing="0" w:after="0" w:afterAutospacing="0"/>
        <w:textAlignment w:val="baseline"/>
        <w:rPr>
          <w:rStyle w:val="eop"/>
          <w:color w:val="222222"/>
        </w:rPr>
      </w:pPr>
      <w:r>
        <w:rPr>
          <w:rStyle w:val="normaltextrun"/>
          <w:color w:val="000000"/>
        </w:rPr>
        <w:t>Norges rikdom er uløselig knyttet til våre naturressurser.</w:t>
      </w:r>
      <w:r>
        <w:rPr>
          <w:rStyle w:val="normaltextrun"/>
          <w:i/>
          <w:iCs/>
          <w:color w:val="000000"/>
        </w:rPr>
        <w:t> </w:t>
      </w:r>
      <w:r>
        <w:rPr>
          <w:rStyle w:val="normaltextrun"/>
          <w:color w:val="000000"/>
        </w:rPr>
        <w:t xml:space="preserve">Mineraler har gjennom hele menneskehetens historie vært avgjørende for velstand og utvikling. Det grønne skiftet forutsetter en sterk vekst i utvinning, oppredning og bruk av mange mineraler. På toppen av det daglige forbruk av mineraler og metaller for alle formål, vil </w:t>
      </w:r>
      <w:proofErr w:type="gramStart"/>
      <w:r>
        <w:rPr>
          <w:rStyle w:val="normaltextrun"/>
          <w:color w:val="000000"/>
        </w:rPr>
        <w:t>generering</w:t>
      </w:r>
      <w:proofErr w:type="gramEnd"/>
      <w:r>
        <w:rPr>
          <w:rStyle w:val="normaltextrun"/>
          <w:color w:val="000000"/>
        </w:rPr>
        <w:t xml:space="preserve"> av sol- og vindkraft, nettforsterkning og nettutjevning med batterier, samt elektrifisert transport kreve mye mer av metaller og mineraler. Om Norges og de samlede globale ambisjoner skal realiseres, vil en dramatisk mangelsituasjon oppstå. Derfor er tilrettelegging for økt mineraluttak viktig for vår felles fremtid.</w:t>
      </w:r>
      <w:r>
        <w:rPr>
          <w:rStyle w:val="normaltextrun"/>
          <w:color w:val="222222"/>
        </w:rPr>
        <w:t> </w:t>
      </w:r>
      <w:r>
        <w:rPr>
          <w:rStyle w:val="eop"/>
          <w:color w:val="222222"/>
        </w:rPr>
        <w:t> </w:t>
      </w:r>
    </w:p>
    <w:p w14:paraId="0C257AA8" w14:textId="77777777" w:rsidR="00103057" w:rsidRDefault="00103057" w:rsidP="00103057">
      <w:pPr>
        <w:pStyle w:val="paragraph"/>
        <w:spacing w:before="0" w:beforeAutospacing="0" w:after="0" w:afterAutospacing="0"/>
        <w:textAlignment w:val="baseline"/>
        <w:rPr>
          <w:rFonts w:ascii="Segoe UI" w:hAnsi="Segoe UI" w:cs="Segoe UI"/>
          <w:sz w:val="18"/>
          <w:szCs w:val="18"/>
        </w:rPr>
      </w:pPr>
    </w:p>
    <w:p w14:paraId="461A4598" w14:textId="14DF471D" w:rsidR="00103057" w:rsidRDefault="00103057" w:rsidP="00103057">
      <w:pPr>
        <w:pStyle w:val="paragraph"/>
        <w:spacing w:before="0" w:beforeAutospacing="0" w:after="0" w:afterAutospacing="0"/>
        <w:textAlignment w:val="baseline"/>
        <w:rPr>
          <w:rStyle w:val="eop"/>
        </w:rPr>
      </w:pPr>
      <w:r>
        <w:rPr>
          <w:rStyle w:val="normaltextrun"/>
          <w:color w:val="000000"/>
        </w:rPr>
        <w:t>Norge har betydelige mineralressurser, som kan bidra til Europas ressurstilgang, herunder titanmineraler som rutil, ilmenitt, kalk, talk, grafitt, olivin, kobber og jernmalm, kvarts og sjeldne jordartsmetaller (REE). </w:t>
      </w:r>
      <w:r>
        <w:rPr>
          <w:rStyle w:val="normaltextrun"/>
        </w:rPr>
        <w:t>EU har erklært tilgangen på REE som strategisk mineralrisiko, og vil investere i FOU og produksjon i EU.  I september kom EU med ny miljømelding og politisk strategibeslutning om at EU skal bli uavhengig av kinesisk REE-import. I dette kan Norge spille en framtidig sentral rolle, i tillegg til mange andre områder.</w:t>
      </w:r>
      <w:r>
        <w:rPr>
          <w:rStyle w:val="eop"/>
        </w:rPr>
        <w:t> </w:t>
      </w:r>
    </w:p>
    <w:p w14:paraId="54B7F355" w14:textId="77777777" w:rsidR="00103057" w:rsidRDefault="00103057" w:rsidP="00103057">
      <w:pPr>
        <w:pStyle w:val="paragraph"/>
        <w:spacing w:before="0" w:beforeAutospacing="0" w:after="0" w:afterAutospacing="0"/>
        <w:textAlignment w:val="baseline"/>
        <w:rPr>
          <w:rFonts w:ascii="Segoe UI" w:hAnsi="Segoe UI" w:cs="Segoe UI"/>
          <w:sz w:val="18"/>
          <w:szCs w:val="18"/>
        </w:rPr>
      </w:pPr>
    </w:p>
    <w:p w14:paraId="78ECB3C7" w14:textId="77777777" w:rsidR="00103057" w:rsidRDefault="00103057" w:rsidP="00103057">
      <w:pPr>
        <w:pStyle w:val="paragraph"/>
        <w:numPr>
          <w:ilvl w:val="0"/>
          <w:numId w:val="7"/>
        </w:numPr>
        <w:spacing w:before="0" w:beforeAutospacing="0" w:after="0" w:afterAutospacing="0"/>
        <w:ind w:left="1080" w:firstLine="0"/>
        <w:textAlignment w:val="baseline"/>
      </w:pPr>
      <w:r>
        <w:rPr>
          <w:rStyle w:val="normaltextrun"/>
          <w:color w:val="000000"/>
        </w:rPr>
        <w:t>Den norske mineralnæringen har et betydelig eksportpotensial og vil kunne bidra positivt til industriell omstilling og nyskapning i Norge og Europa i årene framover. Norges bidrag vil være nødvendig for å dekke et europeisk marked som er i kraftig underbalanse.</w:t>
      </w:r>
      <w:r>
        <w:rPr>
          <w:rStyle w:val="eop"/>
          <w:color w:val="000000"/>
        </w:rPr>
        <w:t> </w:t>
      </w:r>
    </w:p>
    <w:p w14:paraId="2BB9D826" w14:textId="77777777" w:rsidR="00103057" w:rsidRDefault="00103057" w:rsidP="00103057">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color w:val="000000"/>
        </w:rPr>
        <w:t xml:space="preserve">Den norske berggrunnen er rik på mineraler og kan </w:t>
      </w:r>
      <w:proofErr w:type="gramStart"/>
      <w:r>
        <w:rPr>
          <w:rStyle w:val="normaltextrun"/>
          <w:color w:val="000000"/>
        </w:rPr>
        <w:t>generere</w:t>
      </w:r>
      <w:proofErr w:type="gramEnd"/>
      <w:r>
        <w:rPr>
          <w:rStyle w:val="normaltextrun"/>
          <w:color w:val="000000"/>
        </w:rPr>
        <w:t xml:space="preserve"> nye, langsiktige industriarbeidsplasser i hele landet i tiårene framover, spesielt i kombinasjon med kraftforedlende industri. For eksempel krever sol- og vindkraft </w:t>
      </w:r>
      <w:proofErr w:type="spellStart"/>
      <w:r>
        <w:rPr>
          <w:rStyle w:val="spellingerror"/>
          <w:color w:val="000000"/>
        </w:rPr>
        <w:t>ca</w:t>
      </w:r>
      <w:proofErr w:type="spellEnd"/>
      <w:r>
        <w:rPr>
          <w:rStyle w:val="normaltextrun"/>
          <w:color w:val="000000"/>
        </w:rPr>
        <w:t> 1 000 ganger mer materiale enn varmekraft og kjernekraft, per produsert GWh.</w:t>
      </w:r>
      <w:r>
        <w:rPr>
          <w:rStyle w:val="eop"/>
          <w:color w:val="000000"/>
        </w:rPr>
        <w:t> </w:t>
      </w:r>
    </w:p>
    <w:p w14:paraId="13A5F137" w14:textId="2FFEEEE1" w:rsidR="00103057" w:rsidRDefault="00103057" w:rsidP="00103057">
      <w:pPr>
        <w:pStyle w:val="paragraph"/>
        <w:numPr>
          <w:ilvl w:val="0"/>
          <w:numId w:val="7"/>
        </w:numPr>
        <w:spacing w:before="0" w:beforeAutospacing="0" w:after="0" w:afterAutospacing="0"/>
        <w:ind w:left="1080" w:firstLine="0"/>
        <w:textAlignment w:val="baseline"/>
        <w:rPr>
          <w:rStyle w:val="eop"/>
        </w:rPr>
      </w:pPr>
      <w:r>
        <w:rPr>
          <w:rStyle w:val="normaltextrun"/>
          <w:color w:val="000000"/>
        </w:rPr>
        <w:t>Vekst i </w:t>
      </w:r>
      <w:r>
        <w:rPr>
          <w:rStyle w:val="normaltextrun"/>
        </w:rPr>
        <w:t>mineralnæringen betyr vekst i landindustri, arbeidsplasser, skatteinngang (lokal og nasjonal) bærekraftig industriutvikling og økt samfunnsansvar gjennom økt selvforsyningsgrad av mineralske råstoffer.</w:t>
      </w:r>
      <w:r>
        <w:rPr>
          <w:rStyle w:val="eop"/>
        </w:rPr>
        <w:t> </w:t>
      </w:r>
    </w:p>
    <w:p w14:paraId="621EEFE6" w14:textId="77777777" w:rsidR="00103057" w:rsidRDefault="00103057" w:rsidP="00103057">
      <w:pPr>
        <w:pStyle w:val="paragraph"/>
        <w:spacing w:before="0" w:beforeAutospacing="0" w:after="0" w:afterAutospacing="0"/>
        <w:ind w:left="1080"/>
        <w:textAlignment w:val="baseline"/>
      </w:pPr>
    </w:p>
    <w:p w14:paraId="6023826D" w14:textId="57E6334E" w:rsidR="00103057" w:rsidRDefault="00103057" w:rsidP="00103057">
      <w:pPr>
        <w:pStyle w:val="paragraph"/>
        <w:spacing w:before="0" w:beforeAutospacing="0" w:after="0" w:afterAutospacing="0"/>
        <w:textAlignment w:val="baseline"/>
        <w:rPr>
          <w:rStyle w:val="eop"/>
        </w:rPr>
      </w:pPr>
      <w:r>
        <w:rPr>
          <w:rStyle w:val="normaltextrun"/>
        </w:rPr>
        <w:t>En rapport utarbeidet av Norges Geologiske Undersøkelse (NGU) i 2016, antydet at det ligger verdier for minimum 2 500 milliarder kroner i den norske berggrunnen. Da er ikke bearbeidet verdi medregnet.</w:t>
      </w:r>
      <w:r>
        <w:rPr>
          <w:rStyle w:val="eop"/>
        </w:rPr>
        <w:t> </w:t>
      </w:r>
    </w:p>
    <w:p w14:paraId="354B0EA1" w14:textId="77777777" w:rsidR="00103057" w:rsidRDefault="00103057" w:rsidP="00103057">
      <w:pPr>
        <w:pStyle w:val="paragraph"/>
        <w:spacing w:before="0" w:beforeAutospacing="0" w:after="0" w:afterAutospacing="0"/>
        <w:textAlignment w:val="baseline"/>
        <w:rPr>
          <w:rFonts w:ascii="Segoe UI" w:hAnsi="Segoe UI" w:cs="Segoe UI"/>
          <w:sz w:val="18"/>
          <w:szCs w:val="18"/>
        </w:rPr>
      </w:pPr>
    </w:p>
    <w:p w14:paraId="7CEE23F0" w14:textId="2E06D1F5" w:rsidR="00103057" w:rsidRPr="00103057" w:rsidRDefault="00103057" w:rsidP="00103057">
      <w:pPr>
        <w:pStyle w:val="paragraph"/>
        <w:spacing w:before="0" w:beforeAutospacing="0" w:after="0" w:afterAutospacing="0"/>
        <w:textAlignment w:val="baseline"/>
        <w:rPr>
          <w:rFonts w:ascii="Segoe UI" w:hAnsi="Segoe UI" w:cs="Segoe UI"/>
          <w:color w:val="365F91"/>
          <w:sz w:val="18"/>
          <w:szCs w:val="18"/>
        </w:rPr>
      </w:pPr>
      <w:r>
        <w:rPr>
          <w:rStyle w:val="normaltextrun"/>
          <w:color w:val="000000"/>
        </w:rPr>
        <w:t>På bakgrunn av ovenstående mener vi en tydeliggjøring av dagens formålsparagraf er helt nødvendig, hvor det inntas at lovens formål også inkluderer å sikre samfunnet tilstrekkelig tilgang til helt nødvendige</w:t>
      </w:r>
      <w:r w:rsidR="000A4C13">
        <w:rPr>
          <w:rStyle w:val="normaltextrun"/>
          <w:color w:val="000000"/>
        </w:rPr>
        <w:t xml:space="preserve"> </w:t>
      </w:r>
      <w:r>
        <w:rPr>
          <w:rStyle w:val="normaltextrun"/>
          <w:color w:val="000000"/>
        </w:rPr>
        <w:t>mineralressurser. </w:t>
      </w:r>
      <w:r>
        <w:rPr>
          <w:rStyle w:val="spellingerror"/>
          <w:color w:val="000000"/>
          <w:lang w:val="en-GB"/>
        </w:rPr>
        <w:t>Når</w:t>
      </w:r>
      <w:r>
        <w:rPr>
          <w:rStyle w:val="normaltextrun"/>
          <w:color w:val="000000"/>
          <w:lang w:val="en-GB"/>
        </w:rPr>
        <w:t> </w:t>
      </w:r>
      <w:r>
        <w:rPr>
          <w:rStyle w:val="spellingerror"/>
          <w:color w:val="000000"/>
          <w:lang w:val="en-GB"/>
        </w:rPr>
        <w:t>dagens</w:t>
      </w:r>
      <w:r>
        <w:rPr>
          <w:rStyle w:val="normaltextrun"/>
          <w:color w:val="000000"/>
          <w:lang w:val="en-GB"/>
        </w:rPr>
        <w:t> </w:t>
      </w:r>
      <w:r>
        <w:rPr>
          <w:rStyle w:val="spellingerror"/>
          <w:color w:val="000000"/>
          <w:lang w:val="en-GB"/>
        </w:rPr>
        <w:t>formålsparagraf</w:t>
      </w:r>
      <w:r>
        <w:rPr>
          <w:rStyle w:val="normaltextrun"/>
          <w:color w:val="000000"/>
          <w:lang w:val="en-GB"/>
        </w:rPr>
        <w:t> </w:t>
      </w:r>
      <w:r>
        <w:rPr>
          <w:rStyle w:val="spellingerror"/>
          <w:color w:val="000000"/>
          <w:lang w:val="en-GB"/>
        </w:rPr>
        <w:t>skal</w:t>
      </w:r>
      <w:r>
        <w:rPr>
          <w:rStyle w:val="normaltextrun"/>
          <w:color w:val="000000"/>
          <w:lang w:val="en-GB"/>
        </w:rPr>
        <w:t> </w:t>
      </w:r>
      <w:r>
        <w:rPr>
          <w:rStyle w:val="spellingerror"/>
          <w:color w:val="000000"/>
          <w:lang w:val="en-GB"/>
        </w:rPr>
        <w:t>evalueres</w:t>
      </w:r>
      <w:r>
        <w:rPr>
          <w:rStyle w:val="normaltextrun"/>
          <w:color w:val="000000"/>
          <w:lang w:val="en-GB"/>
        </w:rPr>
        <w:t>, </w:t>
      </w:r>
      <w:r>
        <w:rPr>
          <w:rStyle w:val="spellingerror"/>
          <w:color w:val="000000"/>
          <w:lang w:val="en-GB"/>
        </w:rPr>
        <w:t>kan</w:t>
      </w:r>
      <w:r>
        <w:rPr>
          <w:rStyle w:val="normaltextrun"/>
          <w:color w:val="000000"/>
          <w:lang w:val="en-GB"/>
        </w:rPr>
        <w:t> det </w:t>
      </w:r>
      <w:r>
        <w:rPr>
          <w:rStyle w:val="spellingerror"/>
          <w:color w:val="000000"/>
          <w:lang w:val="en-GB"/>
        </w:rPr>
        <w:t>være</w:t>
      </w:r>
      <w:r>
        <w:rPr>
          <w:rStyle w:val="normaltextrun"/>
          <w:color w:val="000000"/>
          <w:lang w:val="en-GB"/>
        </w:rPr>
        <w:t> </w:t>
      </w:r>
      <w:proofErr w:type="spellStart"/>
      <w:r>
        <w:rPr>
          <w:rStyle w:val="spellingerror"/>
          <w:color w:val="000000"/>
          <w:lang w:val="en-GB"/>
        </w:rPr>
        <w:t>hensiktsmessig</w:t>
      </w:r>
      <w:proofErr w:type="spellEnd"/>
      <w:r>
        <w:rPr>
          <w:rStyle w:val="normaltextrun"/>
          <w:color w:val="000000"/>
          <w:lang w:val="en-GB"/>
        </w:rPr>
        <w:t> å se </w:t>
      </w:r>
      <w:proofErr w:type="spellStart"/>
      <w:r>
        <w:rPr>
          <w:rStyle w:val="spellingerror"/>
          <w:color w:val="000000"/>
          <w:lang w:val="en-GB"/>
        </w:rPr>
        <w:t>på</w:t>
      </w:r>
      <w:proofErr w:type="spellEnd"/>
      <w:r>
        <w:rPr>
          <w:rStyle w:val="normaltextrun"/>
          <w:color w:val="000000"/>
          <w:lang w:val="en-GB"/>
        </w:rPr>
        <w:t> </w:t>
      </w:r>
      <w:proofErr w:type="spellStart"/>
      <w:r>
        <w:rPr>
          <w:rStyle w:val="spellingerror"/>
          <w:color w:val="000000"/>
          <w:lang w:val="en-GB"/>
        </w:rPr>
        <w:t>hvordan</w:t>
      </w:r>
      <w:proofErr w:type="spellEnd"/>
      <w:r>
        <w:rPr>
          <w:rStyle w:val="normaltextrun"/>
          <w:color w:val="000000"/>
          <w:lang w:val="en-GB"/>
        </w:rPr>
        <w:t> EU </w:t>
      </w:r>
      <w:proofErr w:type="spellStart"/>
      <w:r>
        <w:rPr>
          <w:rStyle w:val="spellingerror"/>
          <w:color w:val="000000"/>
          <w:lang w:val="en-GB"/>
        </w:rPr>
        <w:t>presenterte</w:t>
      </w:r>
      <w:proofErr w:type="spellEnd"/>
      <w:r>
        <w:rPr>
          <w:rStyle w:val="normaltextrun"/>
          <w:color w:val="000000"/>
          <w:lang w:val="en-GB"/>
        </w:rPr>
        <w:t> sin Action Plan on Critical Raw Materials 4 </w:t>
      </w:r>
      <w:proofErr w:type="spellStart"/>
      <w:r>
        <w:rPr>
          <w:rStyle w:val="spellingerror"/>
          <w:color w:val="000000"/>
          <w:lang w:val="en-GB"/>
        </w:rPr>
        <w:t>september</w:t>
      </w:r>
      <w:proofErr w:type="spellEnd"/>
      <w:r>
        <w:rPr>
          <w:rStyle w:val="normaltextrun"/>
          <w:color w:val="000000"/>
          <w:lang w:val="en-GB"/>
        </w:rPr>
        <w:t> 2020;</w:t>
      </w:r>
      <w:r>
        <w:rPr>
          <w:rStyle w:val="scxw193588949"/>
          <w:color w:val="000000"/>
        </w:rPr>
        <w:t> </w:t>
      </w:r>
      <w:r>
        <w:rPr>
          <w:color w:val="000000"/>
        </w:rPr>
        <w:br/>
      </w:r>
      <w:r>
        <w:rPr>
          <w:rStyle w:val="scxw193588949"/>
          <w:rFonts w:ascii="Cambria" w:hAnsi="Cambria" w:cs="Segoe UI"/>
          <w:color w:val="365F91"/>
        </w:rPr>
        <w:t> </w:t>
      </w:r>
      <w:r>
        <w:rPr>
          <w:rFonts w:ascii="Cambria" w:hAnsi="Cambria" w:cs="Segoe UI"/>
          <w:color w:val="365F91"/>
        </w:rPr>
        <w:br/>
      </w:r>
      <w:r>
        <w:rPr>
          <w:rStyle w:val="normaltextrun"/>
          <w:i/>
          <w:iCs/>
          <w:color w:val="000000"/>
          <w:lang w:val="en-GB"/>
        </w:rPr>
        <w:t>The European Co</w:t>
      </w:r>
      <w:r>
        <w:rPr>
          <w:rStyle w:val="normaltextrun"/>
          <w:i/>
          <w:iCs/>
          <w:lang w:val="en-GB"/>
        </w:rPr>
        <w:t>mmission </w:t>
      </w:r>
      <w:hyperlink r:id="rId7" w:tgtFrame="_blank" w:history="1">
        <w:r>
          <w:rPr>
            <w:rStyle w:val="normaltextrun"/>
            <w:i/>
            <w:iCs/>
            <w:lang w:val="en-GB"/>
          </w:rPr>
          <w:t>presented</w:t>
        </w:r>
      </w:hyperlink>
      <w:r>
        <w:rPr>
          <w:rStyle w:val="normaltextrun"/>
          <w:i/>
          <w:iCs/>
          <w:lang w:val="en-GB"/>
        </w:rPr>
        <w:t> an </w:t>
      </w:r>
      <w:hyperlink r:id="rId8" w:tgtFrame="_blank" w:history="1">
        <w:r>
          <w:rPr>
            <w:rStyle w:val="normaltextrun"/>
            <w:i/>
            <w:iCs/>
            <w:lang w:val="en-GB"/>
          </w:rPr>
          <w:t>Action Plan on Critical Raw Materials</w:t>
        </w:r>
      </w:hyperlink>
      <w:r>
        <w:rPr>
          <w:rStyle w:val="normaltextrun"/>
          <w:i/>
          <w:iCs/>
          <w:lang w:val="en-GB"/>
        </w:rPr>
        <w:t>, the </w:t>
      </w:r>
      <w:hyperlink r:id="rId9" w:tgtFrame="_blank" w:history="1">
        <w:r>
          <w:rPr>
            <w:rStyle w:val="normaltextrun"/>
            <w:i/>
            <w:iCs/>
            <w:lang w:val="en-GB"/>
          </w:rPr>
          <w:t>2020 List of Critical Raw Materials</w:t>
        </w:r>
      </w:hyperlink>
      <w:r>
        <w:rPr>
          <w:rStyle w:val="normaltextrun"/>
          <w:i/>
          <w:iCs/>
          <w:lang w:val="en-GB"/>
        </w:rPr>
        <w:t> and a </w:t>
      </w:r>
      <w:hyperlink r:id="rId10" w:tgtFrame="_blank" w:history="1">
        <w:r>
          <w:rPr>
            <w:rStyle w:val="normaltextrun"/>
            <w:i/>
            <w:iCs/>
            <w:lang w:val="en-GB"/>
          </w:rPr>
          <w:t>foresight study</w:t>
        </w:r>
      </w:hyperlink>
      <w:r>
        <w:rPr>
          <w:rStyle w:val="normaltextrun"/>
          <w:i/>
          <w:iCs/>
          <w:lang w:val="en-GB"/>
        </w:rPr>
        <w:t> on </w:t>
      </w:r>
      <w:r>
        <w:rPr>
          <w:rStyle w:val="normaltextrun"/>
          <w:i/>
          <w:iCs/>
          <w:color w:val="000000"/>
          <w:lang w:val="en-GB"/>
        </w:rPr>
        <w:t>critical raw materials for strategic technologies and sectors from the 2030 and 2050 perspectives.</w:t>
      </w:r>
      <w:r>
        <w:rPr>
          <w:rStyle w:val="eop"/>
          <w:color w:val="000000"/>
        </w:rPr>
        <w:t> </w:t>
      </w:r>
      <w:r>
        <w:rPr>
          <w:rStyle w:val="normaltextrun"/>
          <w:i/>
          <w:iCs/>
          <w:color w:val="000000"/>
          <w:lang w:val="en-GB"/>
        </w:rPr>
        <w:t>The Action Plan looks at the current and future challenges and proposes actions to reduce Europe’s dependency on third countries, diversifying supply from both primary and secondary sources and improving resource efficiency and circularity while promoting responsible sourcing worldwide.</w:t>
      </w:r>
      <w:r>
        <w:rPr>
          <w:rStyle w:val="eop"/>
          <w:color w:val="000000"/>
        </w:rPr>
        <w:t> </w:t>
      </w:r>
    </w:p>
    <w:p w14:paraId="2190A808" w14:textId="076AB848" w:rsidR="00CA5EDC" w:rsidRPr="00103057" w:rsidRDefault="00103057" w:rsidP="00103057">
      <w:pPr>
        <w:pStyle w:val="paragraph"/>
        <w:spacing w:before="0" w:beforeAutospacing="0" w:after="0" w:afterAutospacing="0"/>
        <w:textAlignment w:val="baseline"/>
        <w:rPr>
          <w:rFonts w:ascii="Segoe UI" w:hAnsi="Segoe UI" w:cs="Segoe UI"/>
          <w:sz w:val="18"/>
          <w:szCs w:val="18"/>
        </w:rPr>
      </w:pPr>
      <w:r>
        <w:rPr>
          <w:rStyle w:val="normaltextrun"/>
          <w:i/>
          <w:iCs/>
          <w:color w:val="000000"/>
          <w:lang w:val="en-GB"/>
        </w:rPr>
        <w:t>The actions are intended to foster a transition towards a green and digital economy, and at the same time, bolster Europe’s resilience and open strategic autonomy in key technologies needed for such transition.</w:t>
      </w:r>
      <w:r>
        <w:rPr>
          <w:rStyle w:val="eop"/>
          <w:color w:val="000000"/>
        </w:rPr>
        <w:t> </w:t>
      </w:r>
      <w:r>
        <w:rPr>
          <w:rStyle w:val="normaltextrun"/>
          <w:i/>
          <w:iCs/>
          <w:color w:val="000000"/>
          <w:lang w:val="en-GB"/>
        </w:rPr>
        <w:t>The List of Critical Raw Materials has been updated to reflect the changed economic importance and supply challenges based on their industrial application. It contains 30 critical raw materials. Lithium, which is essential for a shift to e-mobility, has been added to the list for the first time.</w:t>
      </w:r>
    </w:p>
    <w:sectPr w:rsidR="00CA5EDC" w:rsidRPr="001030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CE707" w14:textId="77777777" w:rsidR="003D749B" w:rsidRDefault="003D749B" w:rsidP="00DB49CD">
      <w:pPr>
        <w:spacing w:line="240" w:lineRule="auto"/>
      </w:pPr>
      <w:r>
        <w:separator/>
      </w:r>
    </w:p>
  </w:endnote>
  <w:endnote w:type="continuationSeparator" w:id="0">
    <w:p w14:paraId="405DF81A" w14:textId="77777777" w:rsidR="003D749B" w:rsidRDefault="003D749B" w:rsidP="00DB4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AF0DD" w14:textId="77777777" w:rsidR="003D749B" w:rsidRDefault="003D749B" w:rsidP="00DB49CD">
      <w:pPr>
        <w:spacing w:line="240" w:lineRule="auto"/>
      </w:pPr>
      <w:r>
        <w:separator/>
      </w:r>
    </w:p>
  </w:footnote>
  <w:footnote w:type="continuationSeparator" w:id="0">
    <w:p w14:paraId="0BAD37EC" w14:textId="77777777" w:rsidR="003D749B" w:rsidRDefault="003D749B" w:rsidP="00DB49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26A09"/>
    <w:multiLevelType w:val="hybridMultilevel"/>
    <w:tmpl w:val="FFFFFFFF"/>
    <w:lvl w:ilvl="0" w:tplc="3CB68738">
      <w:start w:val="1"/>
      <w:numFmt w:val="bullet"/>
      <w:lvlText w:val=""/>
      <w:lvlJc w:val="left"/>
      <w:pPr>
        <w:ind w:left="720" w:hanging="360"/>
      </w:pPr>
      <w:rPr>
        <w:rFonts w:ascii="Symbol" w:hAnsi="Symbol" w:hint="default"/>
      </w:rPr>
    </w:lvl>
    <w:lvl w:ilvl="1" w:tplc="EFD2FF14">
      <w:start w:val="1"/>
      <w:numFmt w:val="bullet"/>
      <w:lvlText w:val="o"/>
      <w:lvlJc w:val="left"/>
      <w:pPr>
        <w:ind w:left="1440" w:hanging="360"/>
      </w:pPr>
      <w:rPr>
        <w:rFonts w:ascii="Courier New" w:hAnsi="Courier New" w:cs="Times New Roman" w:hint="default"/>
      </w:rPr>
    </w:lvl>
    <w:lvl w:ilvl="2" w:tplc="500A1128">
      <w:start w:val="1"/>
      <w:numFmt w:val="bullet"/>
      <w:lvlText w:val=""/>
      <w:lvlJc w:val="left"/>
      <w:pPr>
        <w:ind w:left="2160" w:hanging="360"/>
      </w:pPr>
      <w:rPr>
        <w:rFonts w:ascii="Wingdings" w:hAnsi="Wingdings" w:hint="default"/>
      </w:rPr>
    </w:lvl>
    <w:lvl w:ilvl="3" w:tplc="6ADABB42">
      <w:start w:val="1"/>
      <w:numFmt w:val="bullet"/>
      <w:lvlText w:val=""/>
      <w:lvlJc w:val="left"/>
      <w:pPr>
        <w:ind w:left="2880" w:hanging="360"/>
      </w:pPr>
      <w:rPr>
        <w:rFonts w:ascii="Symbol" w:hAnsi="Symbol" w:hint="default"/>
      </w:rPr>
    </w:lvl>
    <w:lvl w:ilvl="4" w:tplc="5C48B9BA">
      <w:start w:val="1"/>
      <w:numFmt w:val="bullet"/>
      <w:lvlText w:val="o"/>
      <w:lvlJc w:val="left"/>
      <w:pPr>
        <w:ind w:left="3600" w:hanging="360"/>
      </w:pPr>
      <w:rPr>
        <w:rFonts w:ascii="Courier New" w:hAnsi="Courier New" w:cs="Times New Roman" w:hint="default"/>
      </w:rPr>
    </w:lvl>
    <w:lvl w:ilvl="5" w:tplc="8F5413EA">
      <w:start w:val="1"/>
      <w:numFmt w:val="bullet"/>
      <w:lvlText w:val=""/>
      <w:lvlJc w:val="left"/>
      <w:pPr>
        <w:ind w:left="4320" w:hanging="360"/>
      </w:pPr>
      <w:rPr>
        <w:rFonts w:ascii="Wingdings" w:hAnsi="Wingdings" w:hint="default"/>
      </w:rPr>
    </w:lvl>
    <w:lvl w:ilvl="6" w:tplc="44B898EC">
      <w:start w:val="1"/>
      <w:numFmt w:val="bullet"/>
      <w:lvlText w:val=""/>
      <w:lvlJc w:val="left"/>
      <w:pPr>
        <w:ind w:left="5040" w:hanging="360"/>
      </w:pPr>
      <w:rPr>
        <w:rFonts w:ascii="Symbol" w:hAnsi="Symbol" w:hint="default"/>
      </w:rPr>
    </w:lvl>
    <w:lvl w:ilvl="7" w:tplc="31B69860">
      <w:start w:val="1"/>
      <w:numFmt w:val="bullet"/>
      <w:lvlText w:val="o"/>
      <w:lvlJc w:val="left"/>
      <w:pPr>
        <w:ind w:left="5760" w:hanging="360"/>
      </w:pPr>
      <w:rPr>
        <w:rFonts w:ascii="Courier New" w:hAnsi="Courier New" w:cs="Times New Roman" w:hint="default"/>
      </w:rPr>
    </w:lvl>
    <w:lvl w:ilvl="8" w:tplc="1C066634">
      <w:start w:val="1"/>
      <w:numFmt w:val="bullet"/>
      <w:lvlText w:val=""/>
      <w:lvlJc w:val="left"/>
      <w:pPr>
        <w:ind w:left="6480" w:hanging="360"/>
      </w:pPr>
      <w:rPr>
        <w:rFonts w:ascii="Wingdings" w:hAnsi="Wingdings" w:hint="default"/>
      </w:rPr>
    </w:lvl>
  </w:abstractNum>
  <w:abstractNum w:abstractNumId="1" w15:restartNumberingAfterBreak="0">
    <w:nsid w:val="31E26A7E"/>
    <w:multiLevelType w:val="hybridMultilevel"/>
    <w:tmpl w:val="4D44A3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CCA4923"/>
    <w:multiLevelType w:val="hybridMultilevel"/>
    <w:tmpl w:val="20803F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433C134E"/>
    <w:multiLevelType w:val="hybridMultilevel"/>
    <w:tmpl w:val="FFFFFFFF"/>
    <w:lvl w:ilvl="0" w:tplc="9FB8F970">
      <w:start w:val="1"/>
      <w:numFmt w:val="bullet"/>
      <w:lvlText w:val=""/>
      <w:lvlJc w:val="left"/>
      <w:pPr>
        <w:ind w:left="720" w:hanging="360"/>
      </w:pPr>
      <w:rPr>
        <w:rFonts w:ascii="Symbol" w:hAnsi="Symbol" w:hint="default"/>
      </w:rPr>
    </w:lvl>
    <w:lvl w:ilvl="1" w:tplc="CB3EB826">
      <w:start w:val="1"/>
      <w:numFmt w:val="bullet"/>
      <w:lvlText w:val="o"/>
      <w:lvlJc w:val="left"/>
      <w:pPr>
        <w:ind w:left="1440" w:hanging="360"/>
      </w:pPr>
      <w:rPr>
        <w:rFonts w:ascii="Courier New" w:hAnsi="Courier New" w:cs="Times New Roman" w:hint="default"/>
      </w:rPr>
    </w:lvl>
    <w:lvl w:ilvl="2" w:tplc="31D4F7B4">
      <w:start w:val="1"/>
      <w:numFmt w:val="bullet"/>
      <w:lvlText w:val=""/>
      <w:lvlJc w:val="left"/>
      <w:pPr>
        <w:ind w:left="2160" w:hanging="360"/>
      </w:pPr>
      <w:rPr>
        <w:rFonts w:ascii="Wingdings" w:hAnsi="Wingdings" w:hint="default"/>
      </w:rPr>
    </w:lvl>
    <w:lvl w:ilvl="3" w:tplc="46D4A284">
      <w:start w:val="1"/>
      <w:numFmt w:val="bullet"/>
      <w:lvlText w:val=""/>
      <w:lvlJc w:val="left"/>
      <w:pPr>
        <w:ind w:left="2880" w:hanging="360"/>
      </w:pPr>
      <w:rPr>
        <w:rFonts w:ascii="Symbol" w:hAnsi="Symbol" w:hint="default"/>
      </w:rPr>
    </w:lvl>
    <w:lvl w:ilvl="4" w:tplc="0A8866C0">
      <w:start w:val="1"/>
      <w:numFmt w:val="bullet"/>
      <w:lvlText w:val="o"/>
      <w:lvlJc w:val="left"/>
      <w:pPr>
        <w:ind w:left="3600" w:hanging="360"/>
      </w:pPr>
      <w:rPr>
        <w:rFonts w:ascii="Courier New" w:hAnsi="Courier New" w:cs="Times New Roman" w:hint="default"/>
      </w:rPr>
    </w:lvl>
    <w:lvl w:ilvl="5" w:tplc="3524346A">
      <w:start w:val="1"/>
      <w:numFmt w:val="bullet"/>
      <w:lvlText w:val=""/>
      <w:lvlJc w:val="left"/>
      <w:pPr>
        <w:ind w:left="4320" w:hanging="360"/>
      </w:pPr>
      <w:rPr>
        <w:rFonts w:ascii="Wingdings" w:hAnsi="Wingdings" w:hint="default"/>
      </w:rPr>
    </w:lvl>
    <w:lvl w:ilvl="6" w:tplc="10C81350">
      <w:start w:val="1"/>
      <w:numFmt w:val="bullet"/>
      <w:lvlText w:val=""/>
      <w:lvlJc w:val="left"/>
      <w:pPr>
        <w:ind w:left="5040" w:hanging="360"/>
      </w:pPr>
      <w:rPr>
        <w:rFonts w:ascii="Symbol" w:hAnsi="Symbol" w:hint="default"/>
      </w:rPr>
    </w:lvl>
    <w:lvl w:ilvl="7" w:tplc="5420A96A">
      <w:start w:val="1"/>
      <w:numFmt w:val="bullet"/>
      <w:lvlText w:val="o"/>
      <w:lvlJc w:val="left"/>
      <w:pPr>
        <w:ind w:left="5760" w:hanging="360"/>
      </w:pPr>
      <w:rPr>
        <w:rFonts w:ascii="Courier New" w:hAnsi="Courier New" w:cs="Times New Roman" w:hint="default"/>
      </w:rPr>
    </w:lvl>
    <w:lvl w:ilvl="8" w:tplc="F2A67DB4">
      <w:start w:val="1"/>
      <w:numFmt w:val="bullet"/>
      <w:lvlText w:val=""/>
      <w:lvlJc w:val="left"/>
      <w:pPr>
        <w:ind w:left="6480" w:hanging="360"/>
      </w:pPr>
      <w:rPr>
        <w:rFonts w:ascii="Wingdings" w:hAnsi="Wingdings" w:hint="default"/>
      </w:rPr>
    </w:lvl>
  </w:abstractNum>
  <w:abstractNum w:abstractNumId="4" w15:restartNumberingAfterBreak="0">
    <w:nsid w:val="54CF4E73"/>
    <w:multiLevelType w:val="hybridMultilevel"/>
    <w:tmpl w:val="D13690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67126735"/>
    <w:multiLevelType w:val="hybridMultilevel"/>
    <w:tmpl w:val="38F0CB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6E2F4077"/>
    <w:multiLevelType w:val="multilevel"/>
    <w:tmpl w:val="CDA4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DC"/>
    <w:rsid w:val="000636F8"/>
    <w:rsid w:val="000A4C13"/>
    <w:rsid w:val="000B1B86"/>
    <w:rsid w:val="00103057"/>
    <w:rsid w:val="00363CE8"/>
    <w:rsid w:val="003D749B"/>
    <w:rsid w:val="006F48B0"/>
    <w:rsid w:val="008844EA"/>
    <w:rsid w:val="008D017C"/>
    <w:rsid w:val="009830EB"/>
    <w:rsid w:val="00AB0B9F"/>
    <w:rsid w:val="00AF4627"/>
    <w:rsid w:val="00B25840"/>
    <w:rsid w:val="00CA5EDC"/>
    <w:rsid w:val="00DB49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53259"/>
  <w15:chartTrackingRefBased/>
  <w15:docId w15:val="{12FAD805-2635-4804-ACFE-29319535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EDC"/>
    <w:pPr>
      <w:spacing w:after="0" w:line="300" w:lineRule="atLeast"/>
    </w:pPr>
    <w:rPr>
      <w:rFonts w:ascii="Arial" w:hAnsi="Arial"/>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A5EDC"/>
    <w:pPr>
      <w:ind w:left="720"/>
      <w:contextualSpacing/>
    </w:pPr>
  </w:style>
  <w:style w:type="paragraph" w:styleId="Bobletekst">
    <w:name w:val="Balloon Text"/>
    <w:basedOn w:val="Normal"/>
    <w:link w:val="BobletekstTegn"/>
    <w:uiPriority w:val="99"/>
    <w:semiHidden/>
    <w:unhideWhenUsed/>
    <w:rsid w:val="008D017C"/>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017C"/>
    <w:rPr>
      <w:rFonts w:ascii="Segoe UI" w:hAnsi="Segoe UI" w:cs="Segoe UI"/>
      <w:color w:val="000000" w:themeColor="text1"/>
      <w:sz w:val="18"/>
      <w:szCs w:val="18"/>
    </w:rPr>
  </w:style>
  <w:style w:type="paragraph" w:customStyle="1" w:styleId="paragraph">
    <w:name w:val="paragraph"/>
    <w:basedOn w:val="Normal"/>
    <w:rsid w:val="00103057"/>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normaltextrun">
    <w:name w:val="normaltextrun"/>
    <w:basedOn w:val="Standardskriftforavsnitt"/>
    <w:rsid w:val="00103057"/>
  </w:style>
  <w:style w:type="character" w:customStyle="1" w:styleId="eop">
    <w:name w:val="eop"/>
    <w:basedOn w:val="Standardskriftforavsnitt"/>
    <w:rsid w:val="00103057"/>
  </w:style>
  <w:style w:type="character" w:customStyle="1" w:styleId="spellingerror">
    <w:name w:val="spellingerror"/>
    <w:basedOn w:val="Standardskriftforavsnitt"/>
    <w:rsid w:val="00103057"/>
  </w:style>
  <w:style w:type="character" w:customStyle="1" w:styleId="scxw193588949">
    <w:name w:val="scxw193588949"/>
    <w:basedOn w:val="Standardskriftforavsnitt"/>
    <w:rsid w:val="00103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6471">
      <w:bodyDiv w:val="1"/>
      <w:marLeft w:val="0"/>
      <w:marRight w:val="0"/>
      <w:marTop w:val="0"/>
      <w:marBottom w:val="0"/>
      <w:divBdr>
        <w:top w:val="none" w:sz="0" w:space="0" w:color="auto"/>
        <w:left w:val="none" w:sz="0" w:space="0" w:color="auto"/>
        <w:bottom w:val="none" w:sz="0" w:space="0" w:color="auto"/>
        <w:right w:val="none" w:sz="0" w:space="0" w:color="auto"/>
      </w:divBdr>
    </w:div>
    <w:div w:id="197357907">
      <w:bodyDiv w:val="1"/>
      <w:marLeft w:val="0"/>
      <w:marRight w:val="0"/>
      <w:marTop w:val="0"/>
      <w:marBottom w:val="0"/>
      <w:divBdr>
        <w:top w:val="none" w:sz="0" w:space="0" w:color="auto"/>
        <w:left w:val="none" w:sz="0" w:space="0" w:color="auto"/>
        <w:bottom w:val="none" w:sz="0" w:space="0" w:color="auto"/>
        <w:right w:val="none" w:sz="0" w:space="0" w:color="auto"/>
      </w:divBdr>
    </w:div>
    <w:div w:id="324213132">
      <w:bodyDiv w:val="1"/>
      <w:marLeft w:val="0"/>
      <w:marRight w:val="0"/>
      <w:marTop w:val="0"/>
      <w:marBottom w:val="0"/>
      <w:divBdr>
        <w:top w:val="none" w:sz="0" w:space="0" w:color="auto"/>
        <w:left w:val="none" w:sz="0" w:space="0" w:color="auto"/>
        <w:bottom w:val="none" w:sz="0" w:space="0" w:color="auto"/>
        <w:right w:val="none" w:sz="0" w:space="0" w:color="auto"/>
      </w:divBdr>
    </w:div>
    <w:div w:id="1116096641">
      <w:bodyDiv w:val="1"/>
      <w:marLeft w:val="0"/>
      <w:marRight w:val="0"/>
      <w:marTop w:val="0"/>
      <w:marBottom w:val="0"/>
      <w:divBdr>
        <w:top w:val="none" w:sz="0" w:space="0" w:color="auto"/>
        <w:left w:val="none" w:sz="0" w:space="0" w:color="auto"/>
        <w:bottom w:val="none" w:sz="0" w:space="0" w:color="auto"/>
        <w:right w:val="none" w:sz="0" w:space="0" w:color="auto"/>
      </w:divBdr>
    </w:div>
    <w:div w:id="1327398879">
      <w:bodyDiv w:val="1"/>
      <w:marLeft w:val="0"/>
      <w:marRight w:val="0"/>
      <w:marTop w:val="0"/>
      <w:marBottom w:val="0"/>
      <w:divBdr>
        <w:top w:val="none" w:sz="0" w:space="0" w:color="auto"/>
        <w:left w:val="none" w:sz="0" w:space="0" w:color="auto"/>
        <w:bottom w:val="none" w:sz="0" w:space="0" w:color="auto"/>
        <w:right w:val="none" w:sz="0" w:space="0" w:color="auto"/>
      </w:divBdr>
    </w:div>
    <w:div w:id="1464927729">
      <w:bodyDiv w:val="1"/>
      <w:marLeft w:val="0"/>
      <w:marRight w:val="0"/>
      <w:marTop w:val="0"/>
      <w:marBottom w:val="0"/>
      <w:divBdr>
        <w:top w:val="none" w:sz="0" w:space="0" w:color="auto"/>
        <w:left w:val="none" w:sz="0" w:space="0" w:color="auto"/>
        <w:bottom w:val="none" w:sz="0" w:space="0" w:color="auto"/>
        <w:right w:val="none" w:sz="0" w:space="0" w:color="auto"/>
      </w:divBdr>
      <w:divsChild>
        <w:div w:id="702562870">
          <w:marLeft w:val="0"/>
          <w:marRight w:val="0"/>
          <w:marTop w:val="0"/>
          <w:marBottom w:val="0"/>
          <w:divBdr>
            <w:top w:val="none" w:sz="0" w:space="0" w:color="auto"/>
            <w:left w:val="none" w:sz="0" w:space="0" w:color="auto"/>
            <w:bottom w:val="none" w:sz="0" w:space="0" w:color="auto"/>
            <w:right w:val="none" w:sz="0" w:space="0" w:color="auto"/>
          </w:divBdr>
        </w:div>
        <w:div w:id="689643938">
          <w:marLeft w:val="0"/>
          <w:marRight w:val="0"/>
          <w:marTop w:val="0"/>
          <w:marBottom w:val="0"/>
          <w:divBdr>
            <w:top w:val="none" w:sz="0" w:space="0" w:color="auto"/>
            <w:left w:val="none" w:sz="0" w:space="0" w:color="auto"/>
            <w:bottom w:val="none" w:sz="0" w:space="0" w:color="auto"/>
            <w:right w:val="none" w:sz="0" w:space="0" w:color="auto"/>
          </w:divBdr>
        </w:div>
        <w:div w:id="850071182">
          <w:marLeft w:val="0"/>
          <w:marRight w:val="0"/>
          <w:marTop w:val="0"/>
          <w:marBottom w:val="0"/>
          <w:divBdr>
            <w:top w:val="none" w:sz="0" w:space="0" w:color="auto"/>
            <w:left w:val="none" w:sz="0" w:space="0" w:color="auto"/>
            <w:bottom w:val="none" w:sz="0" w:space="0" w:color="auto"/>
            <w:right w:val="none" w:sz="0" w:space="0" w:color="auto"/>
          </w:divBdr>
          <w:divsChild>
            <w:div w:id="1666782973">
              <w:marLeft w:val="0"/>
              <w:marRight w:val="0"/>
              <w:marTop w:val="0"/>
              <w:marBottom w:val="0"/>
              <w:divBdr>
                <w:top w:val="none" w:sz="0" w:space="0" w:color="auto"/>
                <w:left w:val="none" w:sz="0" w:space="0" w:color="auto"/>
                <w:bottom w:val="none" w:sz="0" w:space="0" w:color="auto"/>
                <w:right w:val="none" w:sz="0" w:space="0" w:color="auto"/>
              </w:divBdr>
            </w:div>
            <w:div w:id="876166446">
              <w:marLeft w:val="0"/>
              <w:marRight w:val="0"/>
              <w:marTop w:val="0"/>
              <w:marBottom w:val="0"/>
              <w:divBdr>
                <w:top w:val="none" w:sz="0" w:space="0" w:color="auto"/>
                <w:left w:val="none" w:sz="0" w:space="0" w:color="auto"/>
                <w:bottom w:val="none" w:sz="0" w:space="0" w:color="auto"/>
                <w:right w:val="none" w:sz="0" w:space="0" w:color="auto"/>
              </w:divBdr>
            </w:div>
            <w:div w:id="393889912">
              <w:marLeft w:val="0"/>
              <w:marRight w:val="0"/>
              <w:marTop w:val="0"/>
              <w:marBottom w:val="0"/>
              <w:divBdr>
                <w:top w:val="none" w:sz="0" w:space="0" w:color="auto"/>
                <w:left w:val="none" w:sz="0" w:space="0" w:color="auto"/>
                <w:bottom w:val="none" w:sz="0" w:space="0" w:color="auto"/>
                <w:right w:val="none" w:sz="0" w:space="0" w:color="auto"/>
              </w:divBdr>
            </w:div>
          </w:divsChild>
        </w:div>
        <w:div w:id="1639526625">
          <w:marLeft w:val="0"/>
          <w:marRight w:val="0"/>
          <w:marTop w:val="0"/>
          <w:marBottom w:val="0"/>
          <w:divBdr>
            <w:top w:val="none" w:sz="0" w:space="0" w:color="auto"/>
            <w:left w:val="none" w:sz="0" w:space="0" w:color="auto"/>
            <w:bottom w:val="none" w:sz="0" w:space="0" w:color="auto"/>
            <w:right w:val="none" w:sz="0" w:space="0" w:color="auto"/>
          </w:divBdr>
        </w:div>
        <w:div w:id="1364210001">
          <w:marLeft w:val="0"/>
          <w:marRight w:val="0"/>
          <w:marTop w:val="0"/>
          <w:marBottom w:val="0"/>
          <w:divBdr>
            <w:top w:val="none" w:sz="0" w:space="0" w:color="auto"/>
            <w:left w:val="none" w:sz="0" w:space="0" w:color="auto"/>
            <w:bottom w:val="none" w:sz="0" w:space="0" w:color="auto"/>
            <w:right w:val="none" w:sz="0" w:space="0" w:color="auto"/>
          </w:divBdr>
        </w:div>
        <w:div w:id="2097707784">
          <w:marLeft w:val="0"/>
          <w:marRight w:val="0"/>
          <w:marTop w:val="0"/>
          <w:marBottom w:val="0"/>
          <w:divBdr>
            <w:top w:val="none" w:sz="0" w:space="0" w:color="auto"/>
            <w:left w:val="none" w:sz="0" w:space="0" w:color="auto"/>
            <w:bottom w:val="none" w:sz="0" w:space="0" w:color="auto"/>
            <w:right w:val="none" w:sz="0" w:space="0" w:color="auto"/>
          </w:divBdr>
        </w:div>
        <w:div w:id="129639832">
          <w:marLeft w:val="0"/>
          <w:marRight w:val="0"/>
          <w:marTop w:val="0"/>
          <w:marBottom w:val="0"/>
          <w:divBdr>
            <w:top w:val="none" w:sz="0" w:space="0" w:color="auto"/>
            <w:left w:val="none" w:sz="0" w:space="0" w:color="auto"/>
            <w:bottom w:val="none" w:sz="0" w:space="0" w:color="auto"/>
            <w:right w:val="none" w:sz="0" w:space="0" w:color="auto"/>
          </w:divBdr>
        </w:div>
      </w:divsChild>
    </w:div>
    <w:div w:id="1568490423">
      <w:bodyDiv w:val="1"/>
      <w:marLeft w:val="0"/>
      <w:marRight w:val="0"/>
      <w:marTop w:val="0"/>
      <w:marBottom w:val="0"/>
      <w:divBdr>
        <w:top w:val="none" w:sz="0" w:space="0" w:color="auto"/>
        <w:left w:val="none" w:sz="0" w:space="0" w:color="auto"/>
        <w:bottom w:val="none" w:sz="0" w:space="0" w:color="auto"/>
        <w:right w:val="none" w:sz="0" w:space="0" w:color="auto"/>
      </w:divBdr>
    </w:div>
    <w:div w:id="178226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docsroom/documents/42849" TargetMode="External"/><Relationship Id="rId3" Type="http://schemas.openxmlformats.org/officeDocument/2006/relationships/settings" Target="settings.xml"/><Relationship Id="rId7" Type="http://schemas.openxmlformats.org/officeDocument/2006/relationships/hyperlink" Target="https://ec.europa.eu/commission/presscorner/detail/en/ip_20_15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c.europa.eu/docsroom/documents/42853" TargetMode="External"/><Relationship Id="rId4" Type="http://schemas.openxmlformats.org/officeDocument/2006/relationships/webSettings" Target="webSettings.xml"/><Relationship Id="rId9" Type="http://schemas.openxmlformats.org/officeDocument/2006/relationships/hyperlink" Target="https://ec.europa.eu/docsroom/documents/4284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1380</Words>
  <Characters>7315</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Lars-Erik  Sletner</dc:creator>
  <cp:keywords/>
  <dc:description/>
  <cp:lastModifiedBy>Lars-Erik  Sletner</cp:lastModifiedBy>
  <cp:revision>5</cp:revision>
  <dcterms:created xsi:type="dcterms:W3CDTF">2021-01-04T09:29:00Z</dcterms:created>
  <dcterms:modified xsi:type="dcterms:W3CDTF">2021-01-04T15:47:00Z</dcterms:modified>
</cp:coreProperties>
</file>